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окружающий</w:t>
      </w:r>
      <w:proofErr w:type="spellEnd"/>
      <w:r w:rsidR="008264C3">
        <w:rPr>
          <w:rFonts w:ascii="Liberation Serif" w:hAnsi="Liberation Serif" w:cs="Liberation Serif"/>
          <w:sz w:val="24"/>
          <w:szCs w:val="24"/>
          <w:u w:val="single"/>
        </w:rPr>
        <w:t xml:space="preserve"> мир</w:t>
      </w:r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5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proofErr w:type="spellStart"/>
      <w:r w:rsidR="008264C3">
        <w:rPr>
          <w:rFonts w:ascii="Liberation Serif" w:hAnsi="Liberation Serif" w:cs="Liberation Serif"/>
          <w:sz w:val="24"/>
          <w:szCs w:val="24"/>
          <w:u w:val="single"/>
        </w:rPr>
        <w:t>Богос</w:t>
      </w:r>
      <w:proofErr w:type="spellEnd"/>
      <w:r w:rsidR="008264C3">
        <w:rPr>
          <w:rFonts w:ascii="Liberation Serif" w:hAnsi="Liberation Serif" w:cs="Liberation Serif"/>
          <w:sz w:val="24"/>
          <w:szCs w:val="24"/>
          <w:u w:val="single"/>
        </w:rPr>
        <w:t xml:space="preserve"> Е.И.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89"/>
        <w:gridCol w:w="2506"/>
        <w:gridCol w:w="6513"/>
        <w:gridCol w:w="3402"/>
      </w:tblGrid>
      <w:tr w:rsidR="001D4AA5" w:rsidRPr="00F442AE" w:rsidTr="00385E96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506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6513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3402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385E96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50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6513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3402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наблюдается, 50% - «4» и 50% - «5».</w:t>
            </w:r>
          </w:p>
          <w:p w:rsidR="008264C3" w:rsidRPr="00F442AE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Понизили оценку 25%, 1 че., подтвердили 50%, 2 чел., повысили 25%, 1 чел.</w:t>
            </w:r>
          </w:p>
        </w:tc>
      </w:tr>
      <w:tr w:rsidR="00B425DB" w:rsidRPr="00F442AE" w:rsidTr="00385E96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50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3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3402" w:type="dxa"/>
          </w:tcPr>
          <w:p w:rsidR="00B425DB" w:rsidRPr="00F442AE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Распределение по первичным баллам не гармоничное, сдвиг вправо, в основном «4» и «5», высокие результаты. Задания 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3.2, 6.2, 8, 10.1, 10.2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выполнили на 100%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B425DB" w:rsidRPr="00F442AE" w:rsidRDefault="00B425DB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385E96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умения, </w:t>
            </w: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lastRenderedPageBreak/>
              <w:t>сформированные на уровне ниже допустимого</w:t>
            </w:r>
          </w:p>
        </w:tc>
        <w:tc>
          <w:tcPr>
            <w:tcW w:w="2506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3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3402" w:type="dxa"/>
          </w:tcPr>
          <w:p w:rsidR="00B425DB" w:rsidRDefault="00726464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сравнении с «коридором решаемости» (ориентируемся на РФ) результаты очень высокие: 19б. – 25%, по РФ 6,9%, 24 балла – 25%, по РФ 5,4%, 27 баллов – 50%, по РФ 4,4%.</w:t>
            </w:r>
          </w:p>
          <w:p w:rsidR="00726464" w:rsidRDefault="00726464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графику выполнения заданий группами участников западает задания 10.2К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10.2К3.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02"/>
              <w:gridCol w:w="50"/>
              <w:gridCol w:w="50"/>
              <w:gridCol w:w="50"/>
              <w:gridCol w:w="50"/>
              <w:gridCol w:w="50"/>
            </w:tblGrid>
            <w:tr w:rsidR="00726464" w:rsidRPr="00726464" w:rsidTr="00385E96">
              <w:tc>
                <w:tcPr>
                  <w:tcW w:w="5402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 xml:space="preserve">10.2K2. </w:t>
                  </w:r>
                  <w:proofErr w:type="spellStart"/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>Сформированность</w:t>
                  </w:r>
                  <w:proofErr w:type="spellEnd"/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      </w:r>
                </w:p>
              </w:tc>
              <w:tc>
                <w:tcPr>
                  <w:tcW w:w="36" w:type="dxa"/>
                  <w:vAlign w:val="center"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6" w:type="dxa"/>
                  <w:vAlign w:val="center"/>
                </w:tcPr>
                <w:p w:rsidR="00726464" w:rsidRPr="00726464" w:rsidRDefault="00726464" w:rsidP="00726464">
                  <w:pPr>
                    <w:spacing w:after="0" w:line="240" w:lineRule="auto"/>
                    <w:jc w:val="center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6" w:type="dxa"/>
                  <w:vAlign w:val="center"/>
                </w:tcPr>
                <w:p w:rsidR="00726464" w:rsidRPr="00726464" w:rsidRDefault="00726464" w:rsidP="00726464">
                  <w:pPr>
                    <w:spacing w:after="0" w:line="240" w:lineRule="auto"/>
                    <w:jc w:val="center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6" w:type="dxa"/>
                  <w:vAlign w:val="center"/>
                </w:tcPr>
                <w:p w:rsidR="00726464" w:rsidRPr="00726464" w:rsidRDefault="00726464" w:rsidP="00726464">
                  <w:pPr>
                    <w:spacing w:after="0" w:line="240" w:lineRule="auto"/>
                    <w:jc w:val="center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6" w:type="dxa"/>
                  <w:vAlign w:val="center"/>
                </w:tcPr>
                <w:p w:rsidR="00726464" w:rsidRPr="00726464" w:rsidRDefault="00726464" w:rsidP="00726464">
                  <w:pPr>
                    <w:spacing w:after="0" w:line="240" w:lineRule="auto"/>
                    <w:jc w:val="center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</w:p>
              </w:tc>
            </w:tr>
            <w:tr w:rsidR="00726464" w:rsidRPr="00726464" w:rsidTr="00385E96">
              <w:tc>
                <w:tcPr>
                  <w:tcW w:w="5402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</w:pPr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 xml:space="preserve">10.2K3. </w:t>
                  </w:r>
                  <w:proofErr w:type="spellStart"/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>Сформированность</w:t>
                  </w:r>
                  <w:proofErr w:type="spellEnd"/>
                  <w:r w:rsidRPr="00726464">
                    <w:rPr>
                      <w:rFonts w:ascii="Roboto" w:eastAsia="Times New Roman" w:hAnsi="Roboto" w:cs="Times New Roman"/>
                      <w:sz w:val="21"/>
                      <w:szCs w:val="21"/>
                    </w:rPr>
                    <w:t xml:space="preserve"> уважительного отношения к родному краю; осознанно строить речевое высказывание в соответствии с задачами коммуникации.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726464" w:rsidRPr="00726464" w:rsidRDefault="00726464" w:rsidP="007264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26464" w:rsidRPr="00F442AE" w:rsidRDefault="00726464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385E96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50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6513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3402" w:type="dxa"/>
          </w:tcPr>
          <w:p w:rsidR="00B425DB" w:rsidRPr="00F442AE" w:rsidRDefault="00E81EE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нет. Сравнительных результатов нет, т.к.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перешли в основную школу</w:t>
            </w:r>
          </w:p>
        </w:tc>
      </w:tr>
      <w:tr w:rsidR="00B425DB" w:rsidRPr="00F442AE" w:rsidTr="00385E96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50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6513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85E96" w:rsidRPr="00385E96" w:rsidTr="00385E96">
        <w:tc>
          <w:tcPr>
            <w:tcW w:w="2889" w:type="dxa"/>
          </w:tcPr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Уровень подготовки</w:t>
            </w:r>
          </w:p>
        </w:tc>
        <w:tc>
          <w:tcPr>
            <w:tcW w:w="2506" w:type="dxa"/>
          </w:tcPr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Обучающиеся</w:t>
            </w:r>
          </w:p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(количество или </w:t>
            </w:r>
            <w:proofErr w:type="spellStart"/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пофамильно</w:t>
            </w:r>
            <w:proofErr w:type="spellEnd"/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)</w:t>
            </w:r>
          </w:p>
        </w:tc>
        <w:tc>
          <w:tcPr>
            <w:tcW w:w="6513" w:type="dxa"/>
          </w:tcPr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Перечень затруднений</w:t>
            </w:r>
          </w:p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(учебные дефициты)</w:t>
            </w:r>
            <w:bookmarkStart w:id="0" w:name="_GoBack"/>
            <w:bookmarkEnd w:id="0"/>
          </w:p>
        </w:tc>
        <w:tc>
          <w:tcPr>
            <w:tcW w:w="3402" w:type="dxa"/>
          </w:tcPr>
          <w:p w:rsidR="00385E96" w:rsidRPr="00385E96" w:rsidRDefault="00385E96" w:rsidP="008822DA"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385E96">
              <w:rPr>
                <w:rFonts w:ascii="Liberation Serif" w:hAnsi="Liberation Serif" w:cs="Liberation Serif"/>
                <w:b/>
                <w:sz w:val="20"/>
                <w:szCs w:val="20"/>
              </w:rPr>
              <w:t>Меры коррекции</w:t>
            </w:r>
          </w:p>
        </w:tc>
      </w:tr>
      <w:tr w:rsidR="00385E96" w:rsidRPr="00F442AE" w:rsidTr="00385E96">
        <w:tc>
          <w:tcPr>
            <w:tcW w:w="2889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42A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«2»</w:t>
            </w:r>
          </w:p>
        </w:tc>
        <w:tc>
          <w:tcPr>
            <w:tcW w:w="2506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513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385E96" w:rsidRPr="00F442AE" w:rsidTr="00385E96">
        <w:tc>
          <w:tcPr>
            <w:tcW w:w="2889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42AE">
              <w:rPr>
                <w:rFonts w:ascii="Liberation Serif" w:hAnsi="Liberation Serif" w:cs="Liberation Serif"/>
                <w:sz w:val="20"/>
                <w:szCs w:val="20"/>
              </w:rPr>
              <w:t>«3»</w:t>
            </w:r>
          </w:p>
        </w:tc>
        <w:tc>
          <w:tcPr>
            <w:tcW w:w="2506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513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385E96" w:rsidRPr="00F442AE" w:rsidTr="00385E96">
        <w:trPr>
          <w:trHeight w:val="2055"/>
        </w:trPr>
        <w:tc>
          <w:tcPr>
            <w:tcW w:w="2889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42AE">
              <w:rPr>
                <w:rFonts w:ascii="Liberation Serif" w:hAnsi="Liberation Serif" w:cs="Liberation Serif"/>
                <w:sz w:val="20"/>
                <w:szCs w:val="20"/>
              </w:rPr>
              <w:t>«4»</w:t>
            </w:r>
          </w:p>
        </w:tc>
        <w:tc>
          <w:tcPr>
            <w:tcW w:w="2506" w:type="dxa"/>
          </w:tcPr>
          <w:p w:rsidR="00385E96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 w:cs="Liberation Serif"/>
                <w:sz w:val="20"/>
                <w:szCs w:val="20"/>
              </w:rPr>
              <w:t>Вохмянина</w:t>
            </w:r>
            <w:proofErr w:type="spellEnd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А.</w:t>
            </w:r>
          </w:p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Даниленко Т.</w:t>
            </w:r>
          </w:p>
        </w:tc>
        <w:tc>
          <w:tcPr>
            <w:tcW w:w="6513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3402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В РП</w:t>
            </w:r>
            <w:proofErr w:type="gramEnd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педагога в части КТП</w:t>
            </w:r>
          </w:p>
        </w:tc>
      </w:tr>
      <w:tr w:rsidR="00385E96" w:rsidRPr="00F442AE" w:rsidTr="00385E96">
        <w:tc>
          <w:tcPr>
            <w:tcW w:w="2889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42AE">
              <w:rPr>
                <w:rFonts w:ascii="Liberation Serif" w:hAnsi="Liberation Serif" w:cs="Liberation Serif"/>
                <w:sz w:val="20"/>
                <w:szCs w:val="20"/>
              </w:rPr>
              <w:t>«5»</w:t>
            </w:r>
          </w:p>
        </w:tc>
        <w:tc>
          <w:tcPr>
            <w:tcW w:w="2506" w:type="dxa"/>
          </w:tcPr>
          <w:p w:rsidR="00385E96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Новикова И.</w:t>
            </w:r>
          </w:p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Сметанина К.</w:t>
            </w:r>
          </w:p>
        </w:tc>
        <w:tc>
          <w:tcPr>
            <w:tcW w:w="6513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385E96" w:rsidRPr="00F442AE" w:rsidRDefault="00385E96" w:rsidP="008822DA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5497C"/>
    <w:rsid w:val="000D0717"/>
    <w:rsid w:val="000E5FD2"/>
    <w:rsid w:val="000F6FDF"/>
    <w:rsid w:val="001D4AA5"/>
    <w:rsid w:val="002B205D"/>
    <w:rsid w:val="00302577"/>
    <w:rsid w:val="00351E6E"/>
    <w:rsid w:val="0035536D"/>
    <w:rsid w:val="00385E96"/>
    <w:rsid w:val="00470448"/>
    <w:rsid w:val="004C0C8A"/>
    <w:rsid w:val="00546CC0"/>
    <w:rsid w:val="005B46F5"/>
    <w:rsid w:val="005C760A"/>
    <w:rsid w:val="005D7161"/>
    <w:rsid w:val="00615A6F"/>
    <w:rsid w:val="00670696"/>
    <w:rsid w:val="007248C4"/>
    <w:rsid w:val="00726464"/>
    <w:rsid w:val="0076107C"/>
    <w:rsid w:val="007C50DB"/>
    <w:rsid w:val="007D2640"/>
    <w:rsid w:val="007E6223"/>
    <w:rsid w:val="008264C3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81EE8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34</cp:revision>
  <dcterms:created xsi:type="dcterms:W3CDTF">2018-12-12T11:09:00Z</dcterms:created>
  <dcterms:modified xsi:type="dcterms:W3CDTF">2020-12-23T07:11:00Z</dcterms:modified>
</cp:coreProperties>
</file>